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E7A" w:rsidRDefault="00730E7A">
      <w:pPr>
        <w:topLinePunct/>
        <w:autoSpaceDE/>
        <w:autoSpaceDN/>
        <w:adjustRightInd w:val="0"/>
        <w:snapToGrid/>
        <w:spacing w:line="580" w:lineRule="exact"/>
        <w:ind w:firstLine="0"/>
        <w:contextualSpacing/>
        <w:rPr>
          <w:rFonts w:eastAsia="宋体"/>
          <w:snapToGrid/>
          <w:kern w:val="2"/>
          <w:sz w:val="21"/>
          <w:szCs w:val="24"/>
        </w:rPr>
      </w:pPr>
    </w:p>
    <w:p w:rsidR="001333FE" w:rsidRDefault="00B34B5A">
      <w:pPr>
        <w:topLinePunct/>
        <w:autoSpaceDE/>
        <w:autoSpaceDN/>
        <w:adjustRightInd w:val="0"/>
        <w:snapToGrid/>
        <w:spacing w:line="580" w:lineRule="exact"/>
        <w:ind w:firstLine="0"/>
        <w:contextualSpacing/>
        <w:jc w:val="center"/>
        <w:rPr>
          <w:rFonts w:ascii="方正小标宋_GBK" w:eastAsia="方正小标宋_GBK" w:hAnsi="Calibri"/>
          <w:snapToGrid/>
          <w:color w:val="000000"/>
          <w:kern w:val="2"/>
          <w:sz w:val="44"/>
          <w:szCs w:val="44"/>
        </w:rPr>
      </w:pPr>
      <w:r>
        <w:rPr>
          <w:rFonts w:ascii="方正小标宋_GBK" w:eastAsia="方正小标宋_GBK" w:hAnsi="Calibri" w:hint="eastAsia"/>
          <w:snapToGrid/>
          <w:color w:val="000000"/>
          <w:kern w:val="2"/>
          <w:sz w:val="44"/>
          <w:szCs w:val="44"/>
        </w:rPr>
        <w:t>关于《无锡市城市</w:t>
      </w:r>
      <w:r w:rsidRPr="006E7EE5">
        <w:rPr>
          <w:rFonts w:ascii="方正小标宋_GBK" w:eastAsia="方正小标宋_GBK" w:hAnsi="Calibri" w:hint="eastAsia"/>
          <w:snapToGrid/>
          <w:color w:val="000000"/>
          <w:kern w:val="2"/>
          <w:sz w:val="44"/>
          <w:szCs w:val="44"/>
        </w:rPr>
        <w:t>管理</w:t>
      </w:r>
      <w:r>
        <w:rPr>
          <w:rFonts w:ascii="方正小标宋_GBK" w:eastAsia="方正小标宋_GBK" w:hAnsi="Calibri" w:hint="eastAsia"/>
          <w:snapToGrid/>
          <w:color w:val="000000"/>
          <w:kern w:val="2"/>
          <w:sz w:val="44"/>
          <w:szCs w:val="44"/>
        </w:rPr>
        <w:t>行政处罚裁量权适用规范》《无锡市城市管理行政处罚裁量基准》</w:t>
      </w:r>
    </w:p>
    <w:p w:rsidR="00730E7A" w:rsidRPr="001333FE" w:rsidRDefault="00B34B5A">
      <w:pPr>
        <w:topLinePunct/>
        <w:autoSpaceDE/>
        <w:autoSpaceDN/>
        <w:adjustRightInd w:val="0"/>
        <w:snapToGrid/>
        <w:spacing w:line="580" w:lineRule="exact"/>
        <w:ind w:firstLine="0"/>
        <w:contextualSpacing/>
        <w:jc w:val="center"/>
        <w:rPr>
          <w:rFonts w:ascii="宋体" w:eastAsia="宋体" w:hAnsi="宋体" w:cs="宋体"/>
          <w:snapToGrid/>
          <w:color w:val="000000"/>
          <w:kern w:val="2"/>
          <w:sz w:val="44"/>
          <w:szCs w:val="44"/>
        </w:rPr>
      </w:pPr>
      <w:r>
        <w:rPr>
          <w:rFonts w:ascii="方正小标宋_GBK" w:eastAsia="方正小标宋_GBK" w:hAnsi="Calibri" w:hint="eastAsia"/>
          <w:snapToGrid/>
          <w:color w:val="000000"/>
          <w:kern w:val="2"/>
          <w:sz w:val="44"/>
          <w:szCs w:val="44"/>
        </w:rPr>
        <w:t>的</w:t>
      </w:r>
      <w:r w:rsidR="001333FE" w:rsidRPr="001333FE">
        <w:rPr>
          <w:rFonts w:ascii="方正小标宋_GBK" w:eastAsia="方正小标宋_GBK" w:hAnsi="Calibri" w:hint="eastAsia"/>
          <w:snapToGrid/>
          <w:color w:val="000000"/>
          <w:kern w:val="2"/>
          <w:sz w:val="44"/>
          <w:szCs w:val="44"/>
        </w:rPr>
        <w:t>政</w:t>
      </w:r>
      <w:r w:rsidR="001333FE" w:rsidRPr="00E841F4">
        <w:rPr>
          <w:rFonts w:ascii="方正小标宋_GBK" w:eastAsia="方正小标宋_GBK" w:hAnsi="Calibri" w:hint="eastAsia"/>
          <w:snapToGrid/>
          <w:color w:val="000000"/>
          <w:kern w:val="2"/>
          <w:sz w:val="44"/>
          <w:szCs w:val="44"/>
        </w:rPr>
        <w:t>策解读</w:t>
      </w:r>
    </w:p>
    <w:p w:rsidR="00730E7A" w:rsidRDefault="00730E7A" w:rsidP="006E7EE5">
      <w:pPr>
        <w:topLinePunct/>
        <w:autoSpaceDE/>
        <w:autoSpaceDN/>
        <w:adjustRightInd w:val="0"/>
        <w:snapToGrid/>
        <w:spacing w:line="580" w:lineRule="exact"/>
        <w:ind w:firstLineChars="200" w:firstLine="630"/>
        <w:contextualSpacing/>
        <w:rPr>
          <w:rFonts w:ascii="方正仿宋_GBK" w:hAnsi="Calibri"/>
          <w:snapToGrid/>
          <w:color w:val="000000"/>
          <w:kern w:val="2"/>
          <w:szCs w:val="32"/>
        </w:rPr>
      </w:pPr>
    </w:p>
    <w:p w:rsidR="00730E7A" w:rsidRDefault="00B34B5A" w:rsidP="006D0F46">
      <w:pPr>
        <w:topLinePunct/>
        <w:autoSpaceDE/>
        <w:autoSpaceDN/>
        <w:adjustRightInd w:val="0"/>
        <w:snapToGrid/>
        <w:spacing w:line="540" w:lineRule="exact"/>
        <w:ind w:firstLineChars="200" w:firstLine="630"/>
        <w:contextualSpacing/>
        <w:rPr>
          <w:rFonts w:ascii="方正仿宋_GBK" w:hAnsi="方正仿宋_GBK" w:cs="方正仿宋_GBK"/>
          <w:szCs w:val="32"/>
        </w:rPr>
      </w:pPr>
      <w:bookmarkStart w:id="0" w:name="OLE_LINK1"/>
      <w:bookmarkStart w:id="1" w:name="OLE_LINK2"/>
      <w:r>
        <w:rPr>
          <w:rFonts w:ascii="方正仿宋_GBK" w:hAnsi="方正仿宋_GBK" w:cs="方正仿宋_GBK" w:hint="eastAsia"/>
          <w:szCs w:val="32"/>
        </w:rPr>
        <w:t>为规范城市管理行政处罚裁量权，促进依法行政，保障公民、法人和其他组织的合法权益，无锡市城市管理综合行政执法局制定了《无锡市城市管理行政处罚裁量权适用规范》《无锡市城市管理行政处罚裁量基准》</w:t>
      </w:r>
      <w:bookmarkEnd w:id="0"/>
      <w:bookmarkEnd w:id="1"/>
      <w:r>
        <w:rPr>
          <w:rFonts w:ascii="方正仿宋_GBK" w:hAnsi="方正仿宋_GBK" w:cs="方正仿宋_GBK" w:hint="eastAsia"/>
          <w:szCs w:val="32"/>
        </w:rPr>
        <w:t>（以下分别简称《适用规范》《裁量基准》）。</w:t>
      </w:r>
    </w:p>
    <w:p w:rsidR="00730E7A" w:rsidRDefault="00B34B5A" w:rsidP="006D0F46">
      <w:pPr>
        <w:topLinePunct/>
        <w:autoSpaceDE/>
        <w:autoSpaceDN/>
        <w:adjustRightInd w:val="0"/>
        <w:snapToGrid/>
        <w:spacing w:line="540" w:lineRule="exact"/>
        <w:ind w:firstLineChars="200" w:firstLine="630"/>
        <w:contextualSpacing/>
        <w:rPr>
          <w:rFonts w:ascii="方正黑体_GBK" w:eastAsia="方正黑体_GBK" w:hAnsi="方正黑体_GBK" w:cs="方正黑体_GBK"/>
          <w:szCs w:val="32"/>
        </w:rPr>
      </w:pPr>
      <w:bookmarkStart w:id="2" w:name="OLE_LINK3"/>
      <w:bookmarkStart w:id="3" w:name="OLE_LINK4"/>
      <w:r>
        <w:rPr>
          <w:rFonts w:ascii="方正黑体_GBK" w:eastAsia="方正黑体_GBK" w:hAnsi="方正黑体_GBK" w:cs="方正黑体_GBK" w:hint="eastAsia"/>
          <w:szCs w:val="32"/>
        </w:rPr>
        <w:t>一、制定的必要性</w:t>
      </w:r>
      <w:bookmarkEnd w:id="2"/>
      <w:bookmarkEnd w:id="3"/>
    </w:p>
    <w:p w:rsidR="00730E7A" w:rsidRDefault="00B34B5A" w:rsidP="006D0F46">
      <w:pPr>
        <w:topLinePunct/>
        <w:autoSpaceDE/>
        <w:autoSpaceDN/>
        <w:adjustRightInd w:val="0"/>
        <w:snapToGrid/>
        <w:spacing w:line="540" w:lineRule="exact"/>
        <w:ind w:firstLineChars="200" w:firstLine="630"/>
        <w:contextualSpacing/>
        <w:rPr>
          <w:rFonts w:ascii="方正仿宋_GBK" w:hAnsi="方正仿宋_GBK" w:cs="方正仿宋_GBK"/>
          <w:szCs w:val="32"/>
        </w:rPr>
      </w:pPr>
      <w:bookmarkStart w:id="4" w:name="OLE_LINK5"/>
      <w:bookmarkStart w:id="5" w:name="OLE_LINK6"/>
      <w:r>
        <w:rPr>
          <w:rFonts w:ascii="方正楷体_GBK" w:eastAsia="方正楷体_GBK" w:hAnsi="方正楷体_GBK" w:cs="方正楷体_GBK" w:hint="eastAsia"/>
          <w:szCs w:val="32"/>
        </w:rPr>
        <w:t>（一）贯彻行政处罚法。</w:t>
      </w:r>
      <w:bookmarkEnd w:id="4"/>
      <w:bookmarkEnd w:id="5"/>
      <w:r>
        <w:rPr>
          <w:rFonts w:ascii="方正仿宋_GBK" w:hAnsi="方正仿宋_GBK" w:cs="方正仿宋_GBK" w:hint="eastAsia"/>
          <w:szCs w:val="32"/>
        </w:rPr>
        <w:t>新修订的《中华人民共和国行政处罚法》确立了过罚相当、处罚与教育相结合的原则，对法律责任竞合适用法律</w:t>
      </w:r>
      <w:proofErr w:type="gramStart"/>
      <w:r>
        <w:rPr>
          <w:rFonts w:ascii="方正仿宋_GBK" w:hAnsi="方正仿宋_GBK" w:cs="方正仿宋_GBK" w:hint="eastAsia"/>
          <w:szCs w:val="32"/>
        </w:rPr>
        <w:t>作出</w:t>
      </w:r>
      <w:proofErr w:type="gramEnd"/>
      <w:r>
        <w:rPr>
          <w:rFonts w:ascii="方正仿宋_GBK" w:hAnsi="方正仿宋_GBK" w:cs="方正仿宋_GBK" w:hint="eastAsia"/>
          <w:szCs w:val="32"/>
        </w:rPr>
        <w:t>了具体规定，需要对原《适用规定》进行修订。</w:t>
      </w:r>
    </w:p>
    <w:p w:rsidR="00730E7A" w:rsidRDefault="00B34B5A" w:rsidP="006D0F46">
      <w:pPr>
        <w:topLinePunct/>
        <w:autoSpaceDE/>
        <w:autoSpaceDN/>
        <w:adjustRightInd w:val="0"/>
        <w:snapToGrid/>
        <w:spacing w:line="540" w:lineRule="exact"/>
        <w:ind w:firstLineChars="200" w:firstLine="630"/>
        <w:contextualSpacing/>
        <w:rPr>
          <w:rFonts w:ascii="方正仿宋_GBK" w:hAnsi="方正仿宋_GBK" w:cs="方正仿宋_GBK"/>
          <w:szCs w:val="32"/>
        </w:rPr>
      </w:pPr>
      <w:bookmarkStart w:id="6" w:name="OLE_LINK7"/>
      <w:bookmarkStart w:id="7" w:name="OLE_LINK8"/>
      <w:r>
        <w:rPr>
          <w:rFonts w:ascii="方正楷体_GBK" w:eastAsia="方正楷体_GBK" w:hAnsi="方正楷体_GBK" w:cs="方正楷体_GBK" w:hint="eastAsia"/>
          <w:szCs w:val="32"/>
        </w:rPr>
        <w:t>（二）落实行政裁量基准管理工作。</w:t>
      </w:r>
      <w:bookmarkEnd w:id="6"/>
      <w:bookmarkEnd w:id="7"/>
      <w:r>
        <w:rPr>
          <w:rFonts w:ascii="方正仿宋_GBK" w:hAnsi="方正仿宋_GBK" w:cs="方正仿宋_GBK" w:hint="eastAsia"/>
          <w:szCs w:val="32"/>
        </w:rPr>
        <w:t>根据《国务院办公厅关于进一步规范行政裁量权基准制定和管理工作的意见》《省政府办公厅关于统筹推进行政裁量权基准制定和管理工作的通知》的要求，上级行政机关已制定行政裁量权基准的，原则上直接适用。因此需要对原《裁量基准》中与上级不一致的内容进行修改完善。</w:t>
      </w:r>
    </w:p>
    <w:p w:rsidR="00730E7A" w:rsidRDefault="00B34B5A" w:rsidP="006D0F46">
      <w:pPr>
        <w:topLinePunct/>
        <w:autoSpaceDE/>
        <w:autoSpaceDN/>
        <w:adjustRightInd w:val="0"/>
        <w:snapToGrid/>
        <w:spacing w:line="540" w:lineRule="exact"/>
        <w:ind w:firstLineChars="200" w:firstLine="630"/>
        <w:contextualSpacing/>
        <w:rPr>
          <w:rFonts w:ascii="方正仿宋_GBK" w:hAnsi="方正仿宋_GBK" w:cs="方正仿宋_GBK"/>
          <w:szCs w:val="32"/>
        </w:rPr>
      </w:pPr>
      <w:bookmarkStart w:id="8" w:name="OLE_LINK9"/>
      <w:bookmarkStart w:id="9" w:name="OLE_LINK10"/>
      <w:r>
        <w:rPr>
          <w:rFonts w:ascii="方正楷体_GBK" w:eastAsia="方正楷体_GBK" w:hAnsi="方正楷体_GBK" w:cs="方正楷体_GBK" w:hint="eastAsia"/>
          <w:szCs w:val="32"/>
        </w:rPr>
        <w:t>（三）履行行政执法责任。</w:t>
      </w:r>
      <w:bookmarkEnd w:id="8"/>
      <w:bookmarkEnd w:id="9"/>
      <w:r>
        <w:rPr>
          <w:rFonts w:ascii="方正仿宋_GBK" w:hAnsi="方正仿宋_GBK" w:cs="方正仿宋_GBK" w:hint="eastAsia"/>
          <w:szCs w:val="32"/>
        </w:rPr>
        <w:t>原《适用规范》《裁量标准》实施后，城市管理执法领域的相关法律规范修订幅度较大，例</w:t>
      </w:r>
      <w:r>
        <w:rPr>
          <w:rFonts w:ascii="方正仿宋_GBK" w:hAnsi="方正仿宋_GBK" w:cs="方正仿宋_GBK" w:hint="eastAsia"/>
          <w:szCs w:val="32"/>
        </w:rPr>
        <w:lastRenderedPageBreak/>
        <w:t>如《江苏省城市市容和环境卫生管理条例》《江苏省固体废物污染环境防治条例》《江苏省城市绿化管理条例》《无锡市市容和环境卫生管理条例》《江苏省餐厨废弃物管理办法》等进行了修订，新颁布了《中华人民共和国噪声污染防治法》《中华人民共和国市场主体登记管理条例》《无锡市建筑垃圾管理条例》等，因此亟需对原《适用规范》《裁量标准》予以修订，保障和规范行政处罚行为。</w:t>
      </w:r>
    </w:p>
    <w:p w:rsidR="00730E7A" w:rsidRDefault="00B34B5A" w:rsidP="006D0F46">
      <w:pPr>
        <w:topLinePunct/>
        <w:autoSpaceDE/>
        <w:autoSpaceDN/>
        <w:adjustRightInd w:val="0"/>
        <w:snapToGrid/>
        <w:spacing w:line="540" w:lineRule="exact"/>
        <w:ind w:firstLineChars="200" w:firstLine="630"/>
        <w:contextualSpacing/>
        <w:rPr>
          <w:rFonts w:ascii="方正黑体_GBK" w:eastAsia="方正黑体_GBK" w:hAnsi="方正黑体_GBK" w:cs="方正黑体_GBK"/>
          <w:szCs w:val="32"/>
        </w:rPr>
      </w:pPr>
      <w:bookmarkStart w:id="10" w:name="OLE_LINK11"/>
      <w:bookmarkStart w:id="11" w:name="OLE_LINK12"/>
      <w:r>
        <w:rPr>
          <w:rFonts w:ascii="方正黑体_GBK" w:eastAsia="方正黑体_GBK" w:hAnsi="方正黑体_GBK" w:cs="方正黑体_GBK" w:hint="eastAsia"/>
          <w:szCs w:val="32"/>
        </w:rPr>
        <w:t>二、制定依据</w:t>
      </w:r>
    </w:p>
    <w:bookmarkEnd w:id="10"/>
    <w:bookmarkEnd w:id="11"/>
    <w:p w:rsidR="00730E7A" w:rsidRDefault="00B34B5A" w:rsidP="006D0F46">
      <w:pPr>
        <w:topLinePunct/>
        <w:autoSpaceDE/>
        <w:autoSpaceDN/>
        <w:adjustRightInd w:val="0"/>
        <w:snapToGrid/>
        <w:spacing w:line="540" w:lineRule="exact"/>
        <w:ind w:firstLineChars="200" w:firstLine="630"/>
        <w:contextualSpacing/>
        <w:rPr>
          <w:rFonts w:ascii="方正仿宋_GBK" w:hAnsi="方正仿宋_GBK" w:cs="方正仿宋_GBK"/>
          <w:szCs w:val="32"/>
        </w:rPr>
      </w:pPr>
      <w:r>
        <w:rPr>
          <w:rFonts w:ascii="方正仿宋_GBK" w:hAnsi="方正仿宋_GBK" w:cs="方正仿宋_GBK" w:hint="eastAsia"/>
          <w:szCs w:val="32"/>
        </w:rPr>
        <w:t>主要依据了《中华人民共和国行政处罚法》《住房和城乡建设行政处罚程序规定》《国务院办公厅关于进一步规范行政裁量权基准制定和管理工作的意见》《省政府办公厅关于统筹推进行政裁量权基准制定和管理工作的通知》《江苏省住房和城乡建设系统行政处罚裁量基准编制和适用规则（2023版）》《江苏省住房和城乡建设系统行政处罚裁量基准（2023版）》等规定 ，参照了公安部、市场监管总局、长</w:t>
      </w:r>
      <w:proofErr w:type="gramStart"/>
      <w:r>
        <w:rPr>
          <w:rFonts w:ascii="方正仿宋_GBK" w:hAnsi="方正仿宋_GBK" w:cs="方正仿宋_GBK" w:hint="eastAsia"/>
          <w:szCs w:val="32"/>
        </w:rPr>
        <w:t>三角区域三省</w:t>
      </w:r>
      <w:proofErr w:type="gramEnd"/>
      <w:r>
        <w:rPr>
          <w:rFonts w:ascii="方正仿宋_GBK" w:hAnsi="方正仿宋_GBK" w:cs="方正仿宋_GBK" w:hint="eastAsia"/>
          <w:szCs w:val="32"/>
        </w:rPr>
        <w:t>一市生态环境、江苏省市场监管局等有关部门的规定以及北京、上海、杭州、南京、武汉、扬州等地方城市管理部门的规定。</w:t>
      </w:r>
    </w:p>
    <w:p w:rsidR="00730E7A" w:rsidRDefault="00B34B5A" w:rsidP="006D0F46">
      <w:pPr>
        <w:topLinePunct/>
        <w:autoSpaceDE/>
        <w:autoSpaceDN/>
        <w:adjustRightInd w:val="0"/>
        <w:snapToGrid/>
        <w:spacing w:line="540" w:lineRule="exact"/>
        <w:ind w:firstLineChars="200" w:firstLine="630"/>
        <w:contextualSpacing/>
        <w:rPr>
          <w:rFonts w:ascii="方正黑体_GBK" w:eastAsia="方正黑体_GBK" w:hAnsi="方正黑体_GBK" w:cs="方正黑体_GBK"/>
          <w:szCs w:val="32"/>
        </w:rPr>
      </w:pPr>
      <w:bookmarkStart w:id="12" w:name="OLE_LINK13"/>
      <w:bookmarkStart w:id="13" w:name="OLE_LINK14"/>
      <w:r>
        <w:rPr>
          <w:rFonts w:ascii="方正黑体_GBK" w:eastAsia="方正黑体_GBK" w:hAnsi="方正黑体_GBK" w:cs="方正黑体_GBK" w:hint="eastAsia"/>
          <w:szCs w:val="32"/>
        </w:rPr>
        <w:t>三、说明内容</w:t>
      </w:r>
    </w:p>
    <w:p w:rsidR="00730E7A" w:rsidRDefault="00B34B5A" w:rsidP="006D0F46">
      <w:pPr>
        <w:autoSpaceDE/>
        <w:autoSpaceDN/>
        <w:snapToGrid/>
        <w:spacing w:line="540" w:lineRule="exact"/>
        <w:ind w:firstLineChars="200" w:firstLine="630"/>
        <w:rPr>
          <w:rFonts w:ascii="方正楷体_GBK" w:eastAsia="方正楷体_GBK" w:hAnsi="方正楷体_GBK" w:cs="方正楷体_GBK"/>
          <w:szCs w:val="32"/>
        </w:rPr>
      </w:pPr>
      <w:r>
        <w:rPr>
          <w:rFonts w:ascii="方正楷体_GBK" w:eastAsia="方正楷体_GBK" w:hAnsi="方正楷体_GBK" w:cs="方正楷体_GBK" w:hint="eastAsia"/>
          <w:szCs w:val="32"/>
        </w:rPr>
        <w:t>（一）关于《适用规范》</w:t>
      </w:r>
      <w:bookmarkStart w:id="14" w:name="_GoBack"/>
      <w:bookmarkEnd w:id="12"/>
      <w:bookmarkEnd w:id="13"/>
      <w:bookmarkEnd w:id="14"/>
    </w:p>
    <w:p w:rsidR="00730E7A" w:rsidRDefault="00B34B5A" w:rsidP="006D0F46">
      <w:pPr>
        <w:autoSpaceDE/>
        <w:autoSpaceDN/>
        <w:snapToGrid/>
        <w:spacing w:line="540" w:lineRule="exact"/>
        <w:ind w:firstLineChars="200" w:firstLine="630"/>
        <w:rPr>
          <w:rFonts w:ascii="方正仿宋_GBK" w:hAnsi="方正仿宋_GBK" w:cs="方正仿宋_GBK"/>
          <w:szCs w:val="32"/>
        </w:rPr>
      </w:pPr>
      <w:bookmarkStart w:id="15" w:name="OLE_LINK15"/>
      <w:bookmarkStart w:id="16" w:name="OLE_LINK16"/>
      <w:r>
        <w:rPr>
          <w:rFonts w:ascii="方正仿宋_GBK" w:hAnsi="方正仿宋_GBK" w:cs="方正仿宋_GBK" w:hint="eastAsia"/>
          <w:szCs w:val="32"/>
        </w:rPr>
        <w:t>一是对适用范围进行了规定。</w:t>
      </w:r>
      <w:bookmarkEnd w:id="15"/>
      <w:bookmarkEnd w:id="16"/>
      <w:r>
        <w:rPr>
          <w:rFonts w:ascii="方正仿宋_GBK" w:hAnsi="方正仿宋_GBK" w:cs="方正仿宋_GBK" w:hint="eastAsia"/>
          <w:szCs w:val="32"/>
        </w:rPr>
        <w:t>规定“我市城市管理行政执法机关在行使城市管理行政处罚裁量权时，应当适用本规范和《裁量基准》”。</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bookmarkStart w:id="17" w:name="OLE_LINK17"/>
      <w:bookmarkStart w:id="18" w:name="OLE_LINK18"/>
      <w:r>
        <w:rPr>
          <w:rFonts w:ascii="方正仿宋_GBK" w:hAnsi="方正仿宋_GBK" w:cs="方正仿宋_GBK" w:hint="eastAsia"/>
          <w:szCs w:val="32"/>
        </w:rPr>
        <w:t>二是对适用原则增加了规定。</w:t>
      </w:r>
      <w:bookmarkEnd w:id="17"/>
      <w:bookmarkEnd w:id="18"/>
      <w:r>
        <w:rPr>
          <w:rFonts w:ascii="方正仿宋_GBK" w:hAnsi="方正仿宋_GBK" w:cs="方正仿宋_GBK" w:hint="eastAsia"/>
          <w:szCs w:val="32"/>
        </w:rPr>
        <w:t>在原“处罚与教育相结合的</w:t>
      </w:r>
      <w:r>
        <w:rPr>
          <w:rFonts w:ascii="方正仿宋_GBK" w:hAnsi="方正仿宋_GBK" w:cs="方正仿宋_GBK" w:hint="eastAsia"/>
          <w:szCs w:val="32"/>
        </w:rPr>
        <w:lastRenderedPageBreak/>
        <w:t>原则”上增加了“过罚相当、公平公正、程序正当、综合裁量原则”，以及“坚持法律效果和社会效果相统一”的规定。</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bookmarkStart w:id="19" w:name="OLE_LINK19"/>
      <w:r>
        <w:rPr>
          <w:rFonts w:ascii="方正仿宋_GBK" w:hAnsi="方正仿宋_GBK" w:cs="方正仿宋_GBK" w:hint="eastAsia"/>
          <w:szCs w:val="32"/>
        </w:rPr>
        <w:t>三是根据《国务院办公厅关于进一步规范行政裁量权基准制定和管理工作的意见》的规定，对适用可能出现明显不当、显失公平或者客观情况发生改变时的适用规则。</w:t>
      </w:r>
      <w:bookmarkEnd w:id="19"/>
      <w:r>
        <w:rPr>
          <w:rFonts w:ascii="方正仿宋_GBK" w:hAnsi="方正仿宋_GBK" w:cs="方正仿宋_GBK" w:hint="eastAsia"/>
          <w:szCs w:val="32"/>
        </w:rPr>
        <w:t>规定“适用《适用规范》及《裁量基准》可能出现明显不当、显失公平，或适用《适用规范》及《裁量基准》的客观情况发生变化的，经行政机关主要负责人批准或者行政机关负责人集体讨论通过后可以调整适用，批准材料或者集体讨论记录应作为执法案卷的一部分归档保存。县级市、区城市管理行政执法机关适用《适用规范》及《裁量基准》可能出现明显不当、显失公平，或者适用《适用规范》及《裁量基准》的客观情况发生变化的，报请市城市管理行政执法机关批准后，可以调整适用”。</w:t>
      </w:r>
    </w:p>
    <w:p w:rsidR="00730E7A" w:rsidRDefault="00B34B5A" w:rsidP="006D0F46">
      <w:pPr>
        <w:autoSpaceDE/>
        <w:autoSpaceDN/>
        <w:snapToGrid/>
        <w:spacing w:line="540" w:lineRule="exact"/>
        <w:ind w:firstLineChars="200" w:firstLine="630"/>
        <w:rPr>
          <w:rFonts w:ascii="方正仿宋_GBK" w:hAnsi="方正仿宋_GBK" w:cs="方正仿宋_GBK"/>
        </w:rPr>
      </w:pPr>
      <w:r>
        <w:rPr>
          <w:rFonts w:ascii="方正仿宋_GBK" w:hAnsi="方正仿宋_GBK" w:cs="方正仿宋_GBK" w:hint="eastAsia"/>
          <w:szCs w:val="32"/>
        </w:rPr>
        <w:t>四是对法律适用规则进行了规定。规定“当事人实施的同一个违法行为，同时违反数个法律规范并且存在法条竞合情形的，应该按照《中华人民共和国立法法》的相关规定选择需适用的法律规范。数个法律规范均可适用并且均规定了罚款处罚的，适用《中华人民共和国行政处罚法》第二十九条的规定按照罚款数额高的规定处罚</w:t>
      </w:r>
      <w:r>
        <w:rPr>
          <w:rFonts w:ascii="方正仿宋_GBK" w:hAnsi="方正仿宋_GBK" w:cs="方正仿宋_GBK" w:hint="eastAsia"/>
        </w:rPr>
        <w:t>”，并对罚款数额高的判断标准进行了明确。</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五是对不予处罚、从轻减轻处罚的相关情形予以细化。规定了主观过错包括故意和过失；列举了主动供述行政机关尚未掌握的违法行为、配合行政机关查处违法行为有立功表现、违</w:t>
      </w:r>
      <w:r>
        <w:rPr>
          <w:rFonts w:ascii="方正仿宋_GBK" w:hAnsi="方正仿宋_GBK" w:cs="方正仿宋_GBK" w:hint="eastAsia"/>
          <w:szCs w:val="32"/>
        </w:rPr>
        <w:lastRenderedPageBreak/>
        <w:t>法行为轻微、首次违法等常见情形并明确了危害后果轻微、没有危害后果、主动消除或者减轻违法行为危害后果等的</w:t>
      </w:r>
      <w:proofErr w:type="gramStart"/>
      <w:r>
        <w:rPr>
          <w:rFonts w:ascii="方正仿宋_GBK" w:hAnsi="方正仿宋_GBK" w:cs="方正仿宋_GBK" w:hint="eastAsia"/>
          <w:szCs w:val="32"/>
        </w:rPr>
        <w:t>考量</w:t>
      </w:r>
      <w:proofErr w:type="gramEnd"/>
      <w:r>
        <w:rPr>
          <w:rFonts w:ascii="方正仿宋_GBK" w:hAnsi="方正仿宋_GBK" w:cs="方正仿宋_GBK" w:hint="eastAsia"/>
          <w:szCs w:val="32"/>
        </w:rPr>
        <w:t>因素。</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六是细化了裁量规则，使事实、性质、情节及社会危害程度等因素相同或相似的案件，适用的处罚种类和幅度相同或相近，</w:t>
      </w:r>
      <w:r>
        <w:rPr>
          <w:rFonts w:ascii="方正仿宋_GBK" w:hAnsi="方正仿宋_GBK" w:cs="方正仿宋_GBK" w:hint="eastAsia"/>
          <w:snapToGrid/>
          <w:color w:val="000000"/>
          <w:kern w:val="2"/>
          <w:szCs w:val="32"/>
        </w:rPr>
        <w:t>例如《中华人民共和国固体废物污染环境防治法》对工程施工单位未编制建筑垃圾处理方案报备案的处罚幅度为10万至100万，《江苏省住房和城乡建设系统行政处罚裁量基准（2023版）》共分3个档次，即10万至40万、40万至70万以及70万至100万，在具体实施过程中执法人员依然有相当大的裁量权限，也会导致同一行政区内各单位处罚差异较大的情况，因此</w:t>
      </w:r>
      <w:r>
        <w:rPr>
          <w:rFonts w:ascii="方正仿宋_GBK" w:hAnsi="方正仿宋_GBK" w:cs="方正仿宋_GBK" w:hint="eastAsia"/>
          <w:szCs w:val="32"/>
        </w:rPr>
        <w:t>规定“《裁量基准》中罚款为一定幅度且是否改正已作为裁量情形的或者法律规范规定以不改正为处罚前提的，一般按确定的裁量等次罚款幅度的中间值予以处罚。《裁量基准》中罚款为一定幅度且是否改正未作为裁量情形的，已改正的一般在确定的裁量等次罚款幅度中较低的30%部分予以处罚；未改正的一般在确定的裁量等次罚款幅度中较高的30%部分予以处罚”，也充分</w:t>
      </w:r>
      <w:proofErr w:type="gramStart"/>
      <w:r>
        <w:rPr>
          <w:rFonts w:ascii="方正仿宋_GBK" w:hAnsi="方正仿宋_GBK" w:cs="方正仿宋_GBK" w:hint="eastAsia"/>
          <w:szCs w:val="32"/>
        </w:rPr>
        <w:t>践行</w:t>
      </w:r>
      <w:proofErr w:type="gramEnd"/>
      <w:r>
        <w:rPr>
          <w:rFonts w:ascii="方正仿宋_GBK" w:hAnsi="方正仿宋_GBK" w:cs="方正仿宋_GBK" w:hint="eastAsia"/>
          <w:szCs w:val="32"/>
        </w:rPr>
        <w:t>“处罚不是目的”的行政执法理念。</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七是根据《&lt;国务院办公厅关于严格规范涉企行政检查的意见〉有关问题解答》的有关规定，明确了专项检查的相关要求。</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八是规定了行政处罚决定确有错误的处理方式。规定“行政处罚决定确有错误的，城市管理行政执法机关应当启动自我</w:t>
      </w:r>
      <w:r>
        <w:rPr>
          <w:rFonts w:ascii="方正仿宋_GBK" w:hAnsi="方正仿宋_GBK" w:cs="方正仿宋_GBK" w:hint="eastAsia"/>
          <w:szCs w:val="32"/>
        </w:rPr>
        <w:lastRenderedPageBreak/>
        <w:t>纠正程序，也可以依据上级城市管理行政执法机关或者其他国家机关的建议以及当事人的投诉、举报、申诉、检举启动自我纠正程序。具体参照无锡市委全面依法治市委员会办公室和无锡市中级人民法院联合下发的《关于加强行政行为自我纠正的实施意见》执行”。</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九是根据《国务院关于进一步规范和监督罚款设定与实施的指导意见》，将当事人为盲人、又聋又哑的以及已满75周岁的作为可以从轻或者减轻处罚的情形，并结合实际增加了部分免罚、轻罚、重罚情形。</w:t>
      </w:r>
    </w:p>
    <w:p w:rsidR="00730E7A" w:rsidRDefault="00B34B5A" w:rsidP="006D0F46">
      <w:pPr>
        <w:autoSpaceDE/>
        <w:autoSpaceDN/>
        <w:snapToGrid/>
        <w:spacing w:line="540" w:lineRule="exact"/>
        <w:ind w:firstLineChars="200" w:firstLine="630"/>
        <w:rPr>
          <w:rFonts w:ascii="方正仿宋_GBK" w:hAnsi="方正仿宋_GBK" w:cs="方正仿宋_GBK"/>
          <w:szCs w:val="32"/>
        </w:rPr>
      </w:pPr>
      <w:r>
        <w:rPr>
          <w:rFonts w:ascii="方正仿宋_GBK" w:hAnsi="方正仿宋_GBK" w:cs="方正仿宋_GBK" w:hint="eastAsia"/>
          <w:szCs w:val="32"/>
        </w:rPr>
        <w:t>十是避免“以罚代管”情况的发生并明确了改正的评价形式。规定了“城市管理行政执法机关对当事人的违法行为，应当先责令改正或者限期改正，明确改正要求、方式和期限；</w:t>
      </w:r>
      <w:proofErr w:type="gramStart"/>
      <w:r>
        <w:rPr>
          <w:rFonts w:ascii="方正仿宋_GBK" w:hAnsi="方正仿宋_GBK" w:cs="方正仿宋_GBK" w:hint="eastAsia"/>
          <w:szCs w:val="32"/>
        </w:rPr>
        <w:t>作出</w:t>
      </w:r>
      <w:proofErr w:type="gramEnd"/>
      <w:r>
        <w:rPr>
          <w:rFonts w:ascii="方正仿宋_GBK" w:hAnsi="方正仿宋_GBK" w:cs="方正仿宋_GBK" w:hint="eastAsia"/>
          <w:szCs w:val="32"/>
        </w:rPr>
        <w:t>处罚决定时仍未改正的，应当在</w:t>
      </w:r>
      <w:proofErr w:type="gramStart"/>
      <w:r>
        <w:rPr>
          <w:rFonts w:ascii="方正仿宋_GBK" w:hAnsi="方正仿宋_GBK" w:cs="方正仿宋_GBK" w:hint="eastAsia"/>
          <w:szCs w:val="32"/>
        </w:rPr>
        <w:t>作出</w:t>
      </w:r>
      <w:proofErr w:type="gramEnd"/>
      <w:r>
        <w:rPr>
          <w:rFonts w:ascii="方正仿宋_GBK" w:hAnsi="方正仿宋_GBK" w:cs="方正仿宋_GBK" w:hint="eastAsia"/>
          <w:szCs w:val="32"/>
        </w:rPr>
        <w:t>处罚决定时同时责令当事人限期改正违法行为。城市管理行政执法机关应当及时对当事人的改正情况进行监督、复查。符合法律规范对当事人不予行政处罚的，法律规范规定了当事人应当履行其他义务的，应当责令当事人履行相关义务，履行完毕后按规定结案。”“及时改正的评价形式应当为当事人按照责令改正的要求和期限进行改正或者在责令其改正前主动改正违法行为并消除危害后果，违法行为仍在进行或者后续仍将实施的，应当停止违法行为；已经产生实体后果的，应当通过恢复原状、恢复秩序、消除不良后果、履行法律规范规定的义务等方式消除实体后果；对于因未按照法律规范要求办理、变更、延长手续造成违法行为的，</w:t>
      </w:r>
      <w:r>
        <w:rPr>
          <w:rFonts w:ascii="方正仿宋_GBK" w:hAnsi="方正仿宋_GBK" w:cs="方正仿宋_GBK" w:hint="eastAsia"/>
          <w:szCs w:val="32"/>
        </w:rPr>
        <w:lastRenderedPageBreak/>
        <w:t>且违法行为后续仍将实施或者违法状态仍将继续的，还需依法办理有关手续，确保违法行为不会再次发生或者消除违法状态，方可认定为改正”。</w:t>
      </w:r>
    </w:p>
    <w:p w:rsidR="00730E7A" w:rsidRDefault="00B34B5A" w:rsidP="006D0F46">
      <w:pPr>
        <w:spacing w:line="540" w:lineRule="exact"/>
        <w:ind w:firstLineChars="200" w:firstLine="630"/>
        <w:rPr>
          <w:rFonts w:ascii="方正楷体_GBK" w:eastAsia="方正楷体_GBK" w:hAnsi="方正楷体_GBK" w:cs="方正楷体_GBK"/>
        </w:rPr>
      </w:pPr>
      <w:r>
        <w:rPr>
          <w:rFonts w:ascii="方正楷体_GBK" w:eastAsia="方正楷体_GBK" w:hAnsi="方正楷体_GBK" w:cs="方正楷体_GBK" w:hint="eastAsia"/>
        </w:rPr>
        <w:t>（二）关于《裁量基准》</w:t>
      </w:r>
    </w:p>
    <w:p w:rsidR="00730E7A" w:rsidRDefault="00B34B5A" w:rsidP="006D0F46">
      <w:pPr>
        <w:spacing w:line="540" w:lineRule="exact"/>
        <w:ind w:firstLineChars="200" w:firstLine="630"/>
        <w:rPr>
          <w:rFonts w:ascii="方正仿宋_GBK" w:hAnsi="方正仿宋_GBK" w:cs="方正仿宋_GBK"/>
          <w:snapToGrid/>
          <w:kern w:val="2"/>
          <w:szCs w:val="32"/>
        </w:rPr>
      </w:pPr>
      <w:r>
        <w:rPr>
          <w:rFonts w:ascii="方正仿宋_GBK" w:hAnsi="方正仿宋_GBK" w:cs="方正仿宋_GBK" w:hint="eastAsia"/>
        </w:rPr>
        <w:t>一是</w:t>
      </w:r>
      <w:r>
        <w:rPr>
          <w:rFonts w:ascii="方正仿宋_GBK" w:hAnsi="方正仿宋_GBK" w:cs="方正仿宋_GBK" w:hint="eastAsia"/>
          <w:snapToGrid/>
          <w:kern w:val="2"/>
          <w:szCs w:val="32"/>
        </w:rPr>
        <w:t>法律规范规定可以选择决定是否给予行政处罚的，规定是否给予行政处罚的具体适用情形和处罚标准。</w:t>
      </w:r>
    </w:p>
    <w:p w:rsidR="00730E7A" w:rsidRDefault="00B34B5A" w:rsidP="006D0F46">
      <w:pPr>
        <w:spacing w:line="540" w:lineRule="exact"/>
        <w:ind w:firstLineChars="200" w:firstLine="630"/>
        <w:rPr>
          <w:rFonts w:ascii="方正仿宋_GBK" w:hAnsi="方正仿宋_GBK" w:cs="方正仿宋_GBK"/>
          <w:snapToGrid/>
          <w:kern w:val="2"/>
          <w:szCs w:val="32"/>
        </w:rPr>
      </w:pPr>
      <w:r>
        <w:rPr>
          <w:rFonts w:ascii="方正仿宋_GBK" w:hAnsi="方正仿宋_GBK" w:cs="方正仿宋_GBK" w:hint="eastAsia"/>
          <w:snapToGrid/>
          <w:kern w:val="2"/>
          <w:szCs w:val="32"/>
        </w:rPr>
        <w:t>二是法律规范规定可以单处或者并处行政处罚的，规定单处或者并处行政处罚的具体适用情形和处罚标准。</w:t>
      </w:r>
    </w:p>
    <w:p w:rsidR="00730E7A" w:rsidRDefault="00B34B5A" w:rsidP="006D0F46">
      <w:pPr>
        <w:spacing w:line="540" w:lineRule="exact"/>
        <w:ind w:firstLineChars="200" w:firstLine="630"/>
        <w:rPr>
          <w:rFonts w:ascii="方正仿宋_GBK" w:hAnsi="方正仿宋_GBK" w:cs="方正仿宋_GBK"/>
          <w:snapToGrid/>
          <w:kern w:val="2"/>
          <w:szCs w:val="32"/>
        </w:rPr>
      </w:pPr>
      <w:r>
        <w:rPr>
          <w:rFonts w:ascii="方正仿宋_GBK" w:hAnsi="方正仿宋_GBK" w:cs="方正仿宋_GBK" w:hint="eastAsia"/>
          <w:snapToGrid/>
          <w:kern w:val="2"/>
          <w:szCs w:val="32"/>
        </w:rPr>
        <w:t>三是对于部分事项存在</w:t>
      </w:r>
      <w:proofErr w:type="gramStart"/>
      <w:r>
        <w:rPr>
          <w:rFonts w:ascii="方正仿宋_GBK" w:hAnsi="方正仿宋_GBK" w:cs="方正仿宋_GBK" w:hint="eastAsia"/>
          <w:snapToGrid/>
          <w:kern w:val="2"/>
          <w:szCs w:val="32"/>
        </w:rPr>
        <w:t>法条竞合</w:t>
      </w:r>
      <w:proofErr w:type="gramEnd"/>
      <w:r>
        <w:rPr>
          <w:rFonts w:ascii="方正仿宋_GBK" w:hAnsi="方正仿宋_GBK" w:cs="方正仿宋_GBK" w:hint="eastAsia"/>
          <w:snapToGrid/>
          <w:kern w:val="2"/>
          <w:szCs w:val="32"/>
        </w:rPr>
        <w:t>的，明确了适用的法律规范，避免适用错误。</w:t>
      </w:r>
    </w:p>
    <w:p w:rsidR="00730E7A" w:rsidRDefault="00B34B5A" w:rsidP="006D0F46">
      <w:pPr>
        <w:spacing w:line="540" w:lineRule="exact"/>
        <w:ind w:firstLineChars="200" w:firstLine="630"/>
        <w:rPr>
          <w:rFonts w:ascii="方正仿宋_GBK" w:hAnsi="方正仿宋_GBK" w:cs="方正仿宋_GBK"/>
          <w:snapToGrid/>
          <w:kern w:val="2"/>
          <w:szCs w:val="32"/>
        </w:rPr>
      </w:pPr>
      <w:r>
        <w:rPr>
          <w:rFonts w:ascii="方正仿宋_GBK" w:hAnsi="方正仿宋_GBK" w:cs="方正仿宋_GBK" w:hint="eastAsia"/>
          <w:snapToGrid/>
          <w:kern w:val="2"/>
          <w:szCs w:val="32"/>
        </w:rPr>
        <w:t>四是</w:t>
      </w:r>
      <w:r>
        <w:rPr>
          <w:rFonts w:ascii="方正仿宋_GBK" w:hAnsi="方正仿宋_GBK" w:cs="方正仿宋_GBK" w:hint="eastAsia"/>
          <w:szCs w:val="32"/>
        </w:rPr>
        <w:t>《江苏省住房和城乡建设系统行政处罚裁量基准（2023版）》已规定的处罚事项和裁量情节原则上进行了直接</w:t>
      </w:r>
      <w:r>
        <w:rPr>
          <w:rFonts w:ascii="方正仿宋_GBK" w:hAnsi="方正仿宋_GBK" w:cs="方正仿宋_GBK" w:hint="eastAsia"/>
          <w:snapToGrid/>
          <w:kern w:val="2"/>
          <w:szCs w:val="32"/>
        </w:rPr>
        <w:t>适用。</w:t>
      </w:r>
    </w:p>
    <w:p w:rsidR="00730E7A" w:rsidRDefault="00B34B5A" w:rsidP="00730E7A">
      <w:pPr>
        <w:spacing w:line="540" w:lineRule="exact"/>
        <w:ind w:firstLineChars="200" w:firstLine="630"/>
        <w:rPr>
          <w:rFonts w:ascii="方正仿宋_GBK" w:hAnsi="方正仿宋_GBK" w:cs="方正仿宋_GBK"/>
          <w:snapToGrid/>
          <w:kern w:val="2"/>
          <w:szCs w:val="32"/>
        </w:rPr>
      </w:pPr>
      <w:r>
        <w:rPr>
          <w:rFonts w:ascii="方正仿宋_GBK" w:hAnsi="方正仿宋_GBK" w:cs="方正仿宋_GBK" w:hint="eastAsia"/>
          <w:snapToGrid/>
          <w:kern w:val="2"/>
          <w:szCs w:val="32"/>
        </w:rPr>
        <w:t>五是根据法律规范的</w:t>
      </w:r>
      <w:proofErr w:type="gramStart"/>
      <w:r>
        <w:rPr>
          <w:rFonts w:ascii="方正仿宋_GBK" w:hAnsi="方正仿宋_GBK" w:cs="方正仿宋_GBK" w:hint="eastAsia"/>
          <w:snapToGrid/>
          <w:kern w:val="2"/>
          <w:szCs w:val="32"/>
        </w:rPr>
        <w:t>立改废</w:t>
      </w:r>
      <w:proofErr w:type="gramEnd"/>
      <w:r>
        <w:rPr>
          <w:rFonts w:ascii="方正仿宋_GBK" w:hAnsi="方正仿宋_GBK" w:cs="方正仿宋_GBK" w:hint="eastAsia"/>
          <w:snapToGrid/>
          <w:kern w:val="2"/>
          <w:szCs w:val="32"/>
        </w:rPr>
        <w:t>情况，对《无锡市市容和环境卫生管理条例》《无锡市餐厨废弃物管理办法》等部分处罚事项进行了调整和删除，增加了《无锡市建筑垃圾管理条例》以及无锡市人民政府明确由城市管理部门执行的相关处罚事项。</w:t>
      </w:r>
    </w:p>
    <w:sectPr w:rsidR="00730E7A" w:rsidSect="00730E7A">
      <w:footerReference w:type="even" r:id="rId6"/>
      <w:footerReference w:type="default" r:id="rId7"/>
      <w:pgSz w:w="11906" w:h="16838"/>
      <w:pgMar w:top="2098" w:right="1474" w:bottom="1985" w:left="1588" w:header="850" w:footer="1701" w:gutter="0"/>
      <w:pgNumType w:start="1"/>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5D8" w:rsidRDefault="003915D8">
      <w:pPr>
        <w:spacing w:line="240" w:lineRule="auto"/>
      </w:pPr>
      <w:r>
        <w:separator/>
      </w:r>
    </w:p>
  </w:endnote>
  <w:endnote w:type="continuationSeparator" w:id="0">
    <w:p w:rsidR="003915D8" w:rsidRDefault="003915D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auto"/>
    <w:pitch w:val="default"/>
    <w:sig w:usb0="00000000" w:usb1="080E0000" w:usb2="00000000" w:usb3="00000000" w:csb0="00040000" w:csb1="00000000"/>
    <w:embedRegular r:id="rId1" w:subsetted="1" w:fontKey="{01051A06-D129-4D40-8A66-4DD6BFD7FE23}"/>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embedRegular r:id="rId2" w:subsetted="1" w:fontKey="{2838CF53-10A5-4FFA-831C-B9A38366E7B6}"/>
  </w:font>
  <w:font w:name="方正楷体_GBK">
    <w:altName w:val="Arial Unicode MS"/>
    <w:charset w:val="86"/>
    <w:family w:val="script"/>
    <w:pitch w:val="default"/>
    <w:sig w:usb0="00000000" w:usb1="080E0000" w:usb2="00000000" w:usb3="00000000" w:csb0="00040000" w:csb1="00000000"/>
    <w:embedRegular r:id="rId3" w:subsetted="1" w:fontKey="{7F93BE53-F7E8-4535-AA41-AC1208DFAB14}"/>
  </w:font>
  <w:font w:name="方正黑体_GBK">
    <w:altName w:val="Arial Unicode MS"/>
    <w:charset w:val="86"/>
    <w:family w:val="script"/>
    <w:pitch w:val="default"/>
    <w:sig w:usb0="00000000" w:usb1="080E0000" w:usb2="00000000" w:usb3="00000000" w:csb0="00040000" w:csb1="00000000"/>
    <w:embedRegular r:id="rId4" w:subsetted="1" w:fontKey="{19E6ADF4-BE03-4A34-BC3B-D8F25D2EFC2A}"/>
  </w:font>
  <w:font w:name="汉鼎简大宋">
    <w:altName w:val="黑体"/>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E7A" w:rsidRDefault="00B34B5A">
    <w:pPr>
      <w:pStyle w:val="a6"/>
      <w:jc w:val="left"/>
    </w:pPr>
    <w:r>
      <w:t xml:space="preserve">— </w:t>
    </w:r>
    <w:r w:rsidR="00481E91">
      <w:fldChar w:fldCharType="begin"/>
    </w:r>
    <w:r>
      <w:instrText>PAGE   \* MERGEFORMAT</w:instrText>
    </w:r>
    <w:r w:rsidR="00481E91">
      <w:fldChar w:fldCharType="separate"/>
    </w:r>
    <w:r w:rsidR="006E7EE5" w:rsidRPr="006E7EE5">
      <w:rPr>
        <w:noProof/>
        <w:lang w:val="zh-CN"/>
      </w:rPr>
      <w:t>6</w:t>
    </w:r>
    <w:r w:rsidR="00481E91">
      <w:fldChar w:fldCharType="end"/>
    </w: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E7A" w:rsidRDefault="00B34B5A">
    <w:pPr>
      <w:pStyle w:val="a6"/>
      <w:jc w:val="right"/>
    </w:pPr>
    <w:r>
      <w:t xml:space="preserve">— </w:t>
    </w:r>
    <w:r w:rsidR="00481E91">
      <w:fldChar w:fldCharType="begin"/>
    </w:r>
    <w:r>
      <w:instrText>PAGE   \* MERGEFORMAT</w:instrText>
    </w:r>
    <w:r w:rsidR="00481E91">
      <w:fldChar w:fldCharType="separate"/>
    </w:r>
    <w:r w:rsidR="006E7EE5" w:rsidRPr="006E7EE5">
      <w:rPr>
        <w:noProof/>
        <w:lang w:val="zh-CN"/>
      </w:rPr>
      <w:t>1</w:t>
    </w:r>
    <w:r w:rsidR="00481E91">
      <w:fldChar w:fldCharType="end"/>
    </w: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5D8" w:rsidRDefault="003915D8">
      <w:pPr>
        <w:spacing w:line="240" w:lineRule="auto"/>
      </w:pPr>
      <w:r>
        <w:separator/>
      </w:r>
    </w:p>
  </w:footnote>
  <w:footnote w:type="continuationSeparator" w:id="0">
    <w:p w:rsidR="003915D8" w:rsidRDefault="003915D8">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proofState w:spelling="clean" w:grammar="clean"/>
  <w:stylePaneFormatFilter w:val="3F01"/>
  <w:defaultTabStop w:val="425"/>
  <w:evenAndOddHeaders/>
  <w:drawingGridHorizontalSpacing w:val="315"/>
  <w:drawingGridVerticalSpacing w:val="295"/>
  <w:noPunctuationKerning/>
  <w:characterSpacingControl w:val="compressPunctuation"/>
  <w:noLineBreaksAfter w:lang="zh-CN" w:val="([{·‘“〈《「『【〔〖（．［｛￡￥"/>
  <w:noLineBreaksBefore w:lang="zh-CN" w:val="!),.:;?]}¨·ˇˉ―‖’”…∶、。〃々〉》」』】〕〗！＂％＇），．：；？］｀｜｝～￠"/>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useFELayout/>
  </w:compat>
  <w:docVars>
    <w:docVar w:name="commondata" w:val="eyJoZGlkIjoiNzNjYTMyMjY3MjZhMjBhNDA3NjA2ZTRmOGVkNjdkODAifQ=="/>
  </w:docVars>
  <w:rsids>
    <w:rsidRoot w:val="DFFFD8E9"/>
    <w:rsid w:val="B29B1A84"/>
    <w:rsid w:val="B7F78C44"/>
    <w:rsid w:val="D734D909"/>
    <w:rsid w:val="DFFFD8E9"/>
    <w:rsid w:val="EEE9CBF7"/>
    <w:rsid w:val="F2795DC5"/>
    <w:rsid w:val="F2974E8D"/>
    <w:rsid w:val="F33F603B"/>
    <w:rsid w:val="F76EEA94"/>
    <w:rsid w:val="F7BFE661"/>
    <w:rsid w:val="FE7F6102"/>
    <w:rsid w:val="FFCFAAB1"/>
    <w:rsid w:val="00062671"/>
    <w:rsid w:val="00086A9B"/>
    <w:rsid w:val="000A2971"/>
    <w:rsid w:val="000B58AB"/>
    <w:rsid w:val="000D5C2D"/>
    <w:rsid w:val="000E2DCC"/>
    <w:rsid w:val="00103016"/>
    <w:rsid w:val="001073FF"/>
    <w:rsid w:val="001315D9"/>
    <w:rsid w:val="001333FE"/>
    <w:rsid w:val="00134F5F"/>
    <w:rsid w:val="001546D6"/>
    <w:rsid w:val="0019708B"/>
    <w:rsid w:val="001B475E"/>
    <w:rsid w:val="001C78EE"/>
    <w:rsid w:val="00222BA8"/>
    <w:rsid w:val="00223A50"/>
    <w:rsid w:val="00230F62"/>
    <w:rsid w:val="002366DF"/>
    <w:rsid w:val="00251D1F"/>
    <w:rsid w:val="00263754"/>
    <w:rsid w:val="00267E6C"/>
    <w:rsid w:val="002A1DC1"/>
    <w:rsid w:val="002A330A"/>
    <w:rsid w:val="002C4C51"/>
    <w:rsid w:val="002C62FE"/>
    <w:rsid w:val="002D316F"/>
    <w:rsid w:val="002D4BDA"/>
    <w:rsid w:val="00304A51"/>
    <w:rsid w:val="00306236"/>
    <w:rsid w:val="00322FD8"/>
    <w:rsid w:val="003335CB"/>
    <w:rsid w:val="00361F7C"/>
    <w:rsid w:val="00371379"/>
    <w:rsid w:val="003915D8"/>
    <w:rsid w:val="00397552"/>
    <w:rsid w:val="003A7144"/>
    <w:rsid w:val="003B2F61"/>
    <w:rsid w:val="003C34C0"/>
    <w:rsid w:val="003C62B2"/>
    <w:rsid w:val="004015E3"/>
    <w:rsid w:val="0040428B"/>
    <w:rsid w:val="004102B1"/>
    <w:rsid w:val="00432F77"/>
    <w:rsid w:val="00435974"/>
    <w:rsid w:val="00451D1A"/>
    <w:rsid w:val="00462E9B"/>
    <w:rsid w:val="0046402C"/>
    <w:rsid w:val="00481E91"/>
    <w:rsid w:val="004A5B48"/>
    <w:rsid w:val="004A63BC"/>
    <w:rsid w:val="004A6F3B"/>
    <w:rsid w:val="004A7733"/>
    <w:rsid w:val="004B32C5"/>
    <w:rsid w:val="004D5F4E"/>
    <w:rsid w:val="004E2AF2"/>
    <w:rsid w:val="004E7E70"/>
    <w:rsid w:val="004F4F90"/>
    <w:rsid w:val="004F760E"/>
    <w:rsid w:val="00501CFB"/>
    <w:rsid w:val="00515253"/>
    <w:rsid w:val="00527AFA"/>
    <w:rsid w:val="005375A6"/>
    <w:rsid w:val="00540633"/>
    <w:rsid w:val="00575809"/>
    <w:rsid w:val="005B2E63"/>
    <w:rsid w:val="005C3889"/>
    <w:rsid w:val="005C73BE"/>
    <w:rsid w:val="006148FF"/>
    <w:rsid w:val="00623C08"/>
    <w:rsid w:val="00652826"/>
    <w:rsid w:val="00667F96"/>
    <w:rsid w:val="00671007"/>
    <w:rsid w:val="00697708"/>
    <w:rsid w:val="006A1858"/>
    <w:rsid w:val="006B68E4"/>
    <w:rsid w:val="006D0F46"/>
    <w:rsid w:val="006D2BEB"/>
    <w:rsid w:val="006E3B2B"/>
    <w:rsid w:val="006E7EE5"/>
    <w:rsid w:val="006F4975"/>
    <w:rsid w:val="007078FF"/>
    <w:rsid w:val="0070793C"/>
    <w:rsid w:val="00717A47"/>
    <w:rsid w:val="0072502C"/>
    <w:rsid w:val="00730E7A"/>
    <w:rsid w:val="007410D7"/>
    <w:rsid w:val="00773AC3"/>
    <w:rsid w:val="0078020E"/>
    <w:rsid w:val="007814D5"/>
    <w:rsid w:val="007918D3"/>
    <w:rsid w:val="00793005"/>
    <w:rsid w:val="007B1BD8"/>
    <w:rsid w:val="007C5610"/>
    <w:rsid w:val="007C7FD4"/>
    <w:rsid w:val="007F32DA"/>
    <w:rsid w:val="00814923"/>
    <w:rsid w:val="0082376D"/>
    <w:rsid w:val="00826DC3"/>
    <w:rsid w:val="00852A75"/>
    <w:rsid w:val="00861D81"/>
    <w:rsid w:val="00877CBA"/>
    <w:rsid w:val="00886611"/>
    <w:rsid w:val="00893B5C"/>
    <w:rsid w:val="008962AE"/>
    <w:rsid w:val="008B521B"/>
    <w:rsid w:val="008C6601"/>
    <w:rsid w:val="008E6DA2"/>
    <w:rsid w:val="008F4DD6"/>
    <w:rsid w:val="009077EF"/>
    <w:rsid w:val="00920867"/>
    <w:rsid w:val="00947E5E"/>
    <w:rsid w:val="00951757"/>
    <w:rsid w:val="009A0E9D"/>
    <w:rsid w:val="009A2487"/>
    <w:rsid w:val="009C598E"/>
    <w:rsid w:val="009E61B8"/>
    <w:rsid w:val="00A30961"/>
    <w:rsid w:val="00A42C9D"/>
    <w:rsid w:val="00A714EB"/>
    <w:rsid w:val="00A937AC"/>
    <w:rsid w:val="00A96A41"/>
    <w:rsid w:val="00AD0803"/>
    <w:rsid w:val="00AD7195"/>
    <w:rsid w:val="00B20F25"/>
    <w:rsid w:val="00B30724"/>
    <w:rsid w:val="00B34B5A"/>
    <w:rsid w:val="00B36C9C"/>
    <w:rsid w:val="00B53B33"/>
    <w:rsid w:val="00B81D4F"/>
    <w:rsid w:val="00B87C9B"/>
    <w:rsid w:val="00B95F84"/>
    <w:rsid w:val="00B97A17"/>
    <w:rsid w:val="00BC0EF1"/>
    <w:rsid w:val="00BC18C2"/>
    <w:rsid w:val="00BD168F"/>
    <w:rsid w:val="00C309C2"/>
    <w:rsid w:val="00C43F12"/>
    <w:rsid w:val="00C550AC"/>
    <w:rsid w:val="00C81D8F"/>
    <w:rsid w:val="00C9578A"/>
    <w:rsid w:val="00CD6A4A"/>
    <w:rsid w:val="00CD79A2"/>
    <w:rsid w:val="00CE2B34"/>
    <w:rsid w:val="00CE69EE"/>
    <w:rsid w:val="00D01624"/>
    <w:rsid w:val="00D173AA"/>
    <w:rsid w:val="00D236A8"/>
    <w:rsid w:val="00D72188"/>
    <w:rsid w:val="00DA63D9"/>
    <w:rsid w:val="00DB4ACD"/>
    <w:rsid w:val="00DB66CB"/>
    <w:rsid w:val="00DC7219"/>
    <w:rsid w:val="00DF20C8"/>
    <w:rsid w:val="00E078E2"/>
    <w:rsid w:val="00E30CE8"/>
    <w:rsid w:val="00E42315"/>
    <w:rsid w:val="00E6642E"/>
    <w:rsid w:val="00E718F6"/>
    <w:rsid w:val="00E841F4"/>
    <w:rsid w:val="00EB6F2E"/>
    <w:rsid w:val="00EC2289"/>
    <w:rsid w:val="00ED399E"/>
    <w:rsid w:val="00ED404E"/>
    <w:rsid w:val="00F10A38"/>
    <w:rsid w:val="00F16585"/>
    <w:rsid w:val="00F335A0"/>
    <w:rsid w:val="00F4759B"/>
    <w:rsid w:val="00F54A48"/>
    <w:rsid w:val="00F84538"/>
    <w:rsid w:val="00FE6844"/>
    <w:rsid w:val="00FF3465"/>
    <w:rsid w:val="010F1DA1"/>
    <w:rsid w:val="02380E83"/>
    <w:rsid w:val="029C6457"/>
    <w:rsid w:val="038C76D9"/>
    <w:rsid w:val="03FF434E"/>
    <w:rsid w:val="054878AC"/>
    <w:rsid w:val="060D2578"/>
    <w:rsid w:val="073267E9"/>
    <w:rsid w:val="08D84396"/>
    <w:rsid w:val="09391505"/>
    <w:rsid w:val="09410F65"/>
    <w:rsid w:val="095F1D10"/>
    <w:rsid w:val="097A6225"/>
    <w:rsid w:val="098158EB"/>
    <w:rsid w:val="0A570314"/>
    <w:rsid w:val="0A6A0048"/>
    <w:rsid w:val="0AD007F3"/>
    <w:rsid w:val="0B114967"/>
    <w:rsid w:val="0B1F3EA8"/>
    <w:rsid w:val="0B5C4FFD"/>
    <w:rsid w:val="0C063DA0"/>
    <w:rsid w:val="0C10383E"/>
    <w:rsid w:val="0C4A1EDF"/>
    <w:rsid w:val="0D6B75C9"/>
    <w:rsid w:val="0DB461AA"/>
    <w:rsid w:val="0DD405FA"/>
    <w:rsid w:val="101C7D2A"/>
    <w:rsid w:val="10E741A0"/>
    <w:rsid w:val="117B742B"/>
    <w:rsid w:val="14045069"/>
    <w:rsid w:val="1511796A"/>
    <w:rsid w:val="152359C3"/>
    <w:rsid w:val="157B5A5B"/>
    <w:rsid w:val="15E72E94"/>
    <w:rsid w:val="16FB6BF7"/>
    <w:rsid w:val="17092E14"/>
    <w:rsid w:val="17383C9B"/>
    <w:rsid w:val="17B9260F"/>
    <w:rsid w:val="17E339BE"/>
    <w:rsid w:val="180C6BE2"/>
    <w:rsid w:val="187B5C46"/>
    <w:rsid w:val="18F86C0B"/>
    <w:rsid w:val="195645B9"/>
    <w:rsid w:val="19DF45AE"/>
    <w:rsid w:val="1A293A7B"/>
    <w:rsid w:val="1A69031C"/>
    <w:rsid w:val="1AF6483E"/>
    <w:rsid w:val="1B814CBC"/>
    <w:rsid w:val="1B9C027D"/>
    <w:rsid w:val="1BBB0703"/>
    <w:rsid w:val="1D2740EC"/>
    <w:rsid w:val="1D3A5FA0"/>
    <w:rsid w:val="1E2502F9"/>
    <w:rsid w:val="1E79216E"/>
    <w:rsid w:val="1EA05CC2"/>
    <w:rsid w:val="1F325180"/>
    <w:rsid w:val="1F3802BD"/>
    <w:rsid w:val="20E51E53"/>
    <w:rsid w:val="213854DA"/>
    <w:rsid w:val="21404B56"/>
    <w:rsid w:val="21463CFC"/>
    <w:rsid w:val="2309444A"/>
    <w:rsid w:val="244514B2"/>
    <w:rsid w:val="24BE3012"/>
    <w:rsid w:val="250F386E"/>
    <w:rsid w:val="25D7082F"/>
    <w:rsid w:val="25E42F4C"/>
    <w:rsid w:val="26CC1AA9"/>
    <w:rsid w:val="27225ADA"/>
    <w:rsid w:val="283D1185"/>
    <w:rsid w:val="295757E3"/>
    <w:rsid w:val="2A9F38E6"/>
    <w:rsid w:val="2AB54EB7"/>
    <w:rsid w:val="2AD43590"/>
    <w:rsid w:val="2C8D005C"/>
    <w:rsid w:val="2D0B7011"/>
    <w:rsid w:val="2D4E325F"/>
    <w:rsid w:val="2D79041E"/>
    <w:rsid w:val="2DA37249"/>
    <w:rsid w:val="2F8C4439"/>
    <w:rsid w:val="2FF95846"/>
    <w:rsid w:val="302E2F81"/>
    <w:rsid w:val="30E251B5"/>
    <w:rsid w:val="31F369F1"/>
    <w:rsid w:val="326B1326"/>
    <w:rsid w:val="328C4750"/>
    <w:rsid w:val="33544E93"/>
    <w:rsid w:val="33B03D6D"/>
    <w:rsid w:val="33D740F0"/>
    <w:rsid w:val="33DF10BC"/>
    <w:rsid w:val="34036C94"/>
    <w:rsid w:val="34CD09C9"/>
    <w:rsid w:val="352C3FC8"/>
    <w:rsid w:val="35B75730"/>
    <w:rsid w:val="35B93AAE"/>
    <w:rsid w:val="35FB789E"/>
    <w:rsid w:val="360C62D3"/>
    <w:rsid w:val="36FB6AF5"/>
    <w:rsid w:val="37502E0D"/>
    <w:rsid w:val="39DC420F"/>
    <w:rsid w:val="3A7458AB"/>
    <w:rsid w:val="3C2D0D52"/>
    <w:rsid w:val="3C797AF3"/>
    <w:rsid w:val="3CDB69FF"/>
    <w:rsid w:val="3CF63839"/>
    <w:rsid w:val="3D2E2080"/>
    <w:rsid w:val="3D765705"/>
    <w:rsid w:val="3DB87A8F"/>
    <w:rsid w:val="3E021D6A"/>
    <w:rsid w:val="3EAF5499"/>
    <w:rsid w:val="3FF102E8"/>
    <w:rsid w:val="408B4726"/>
    <w:rsid w:val="421059ED"/>
    <w:rsid w:val="42B55C3A"/>
    <w:rsid w:val="4356687F"/>
    <w:rsid w:val="43D86FA0"/>
    <w:rsid w:val="44476729"/>
    <w:rsid w:val="44E52322"/>
    <w:rsid w:val="4622744D"/>
    <w:rsid w:val="46326F64"/>
    <w:rsid w:val="46780E1B"/>
    <w:rsid w:val="469F0A9E"/>
    <w:rsid w:val="46C6602A"/>
    <w:rsid w:val="474829B9"/>
    <w:rsid w:val="47BC567F"/>
    <w:rsid w:val="47F5C66B"/>
    <w:rsid w:val="47FF764C"/>
    <w:rsid w:val="484D0086"/>
    <w:rsid w:val="489D6486"/>
    <w:rsid w:val="493556E9"/>
    <w:rsid w:val="49405698"/>
    <w:rsid w:val="49415E3C"/>
    <w:rsid w:val="49AB775A"/>
    <w:rsid w:val="4A25750C"/>
    <w:rsid w:val="4A317C5F"/>
    <w:rsid w:val="4A4D25BF"/>
    <w:rsid w:val="4AD92FAD"/>
    <w:rsid w:val="4B852744"/>
    <w:rsid w:val="4C9E35A6"/>
    <w:rsid w:val="4CA50490"/>
    <w:rsid w:val="4CD64B17"/>
    <w:rsid w:val="4D5D0D6B"/>
    <w:rsid w:val="4DDD0B8D"/>
    <w:rsid w:val="4E5D7B99"/>
    <w:rsid w:val="4E824F2D"/>
    <w:rsid w:val="507C1C7A"/>
    <w:rsid w:val="51A46F68"/>
    <w:rsid w:val="51D51818"/>
    <w:rsid w:val="5257047F"/>
    <w:rsid w:val="52957626"/>
    <w:rsid w:val="531D5224"/>
    <w:rsid w:val="54E57124"/>
    <w:rsid w:val="54FC530D"/>
    <w:rsid w:val="5691627F"/>
    <w:rsid w:val="56927CD7"/>
    <w:rsid w:val="57482A8C"/>
    <w:rsid w:val="57EFC150"/>
    <w:rsid w:val="58900246"/>
    <w:rsid w:val="58CE60AF"/>
    <w:rsid w:val="59140E77"/>
    <w:rsid w:val="594F0101"/>
    <w:rsid w:val="59E22D24"/>
    <w:rsid w:val="59EA57EE"/>
    <w:rsid w:val="59EE1C2D"/>
    <w:rsid w:val="5A833F67"/>
    <w:rsid w:val="5A873C76"/>
    <w:rsid w:val="5AA25DC7"/>
    <w:rsid w:val="5B2F1F99"/>
    <w:rsid w:val="5B300C38"/>
    <w:rsid w:val="5CF53766"/>
    <w:rsid w:val="5D740137"/>
    <w:rsid w:val="5E826883"/>
    <w:rsid w:val="5ED54C05"/>
    <w:rsid w:val="5F182D44"/>
    <w:rsid w:val="5F6A7D53"/>
    <w:rsid w:val="602F6597"/>
    <w:rsid w:val="61314591"/>
    <w:rsid w:val="61F6005F"/>
    <w:rsid w:val="630930CF"/>
    <w:rsid w:val="63155F18"/>
    <w:rsid w:val="63773BBD"/>
    <w:rsid w:val="639C2195"/>
    <w:rsid w:val="654A79CF"/>
    <w:rsid w:val="65A92947"/>
    <w:rsid w:val="65BC44A2"/>
    <w:rsid w:val="65D967AB"/>
    <w:rsid w:val="666B6D4A"/>
    <w:rsid w:val="666E7435"/>
    <w:rsid w:val="669E7FD2"/>
    <w:rsid w:val="66F65D61"/>
    <w:rsid w:val="6708687D"/>
    <w:rsid w:val="684C6719"/>
    <w:rsid w:val="68973D3B"/>
    <w:rsid w:val="69060278"/>
    <w:rsid w:val="697926D0"/>
    <w:rsid w:val="69CC4EC6"/>
    <w:rsid w:val="69CE5072"/>
    <w:rsid w:val="6A3E6E7C"/>
    <w:rsid w:val="6AC50223"/>
    <w:rsid w:val="6AEA5EDC"/>
    <w:rsid w:val="6B127B08"/>
    <w:rsid w:val="6BDB447F"/>
    <w:rsid w:val="6BF6440D"/>
    <w:rsid w:val="6C890A01"/>
    <w:rsid w:val="6D394EF9"/>
    <w:rsid w:val="6D543AE1"/>
    <w:rsid w:val="6DFFFC49"/>
    <w:rsid w:val="6E34121C"/>
    <w:rsid w:val="6FFD5F6B"/>
    <w:rsid w:val="6FFDE9AD"/>
    <w:rsid w:val="70981F36"/>
    <w:rsid w:val="70A72179"/>
    <w:rsid w:val="70C96594"/>
    <w:rsid w:val="71EA4A14"/>
    <w:rsid w:val="72F10C19"/>
    <w:rsid w:val="736D3206"/>
    <w:rsid w:val="73905147"/>
    <w:rsid w:val="73D80688"/>
    <w:rsid w:val="74130252"/>
    <w:rsid w:val="74512B28"/>
    <w:rsid w:val="747247FB"/>
    <w:rsid w:val="75330480"/>
    <w:rsid w:val="76695596"/>
    <w:rsid w:val="76E23F0B"/>
    <w:rsid w:val="774E77F3"/>
    <w:rsid w:val="77CB499F"/>
    <w:rsid w:val="77E12415"/>
    <w:rsid w:val="78126A72"/>
    <w:rsid w:val="78450BF6"/>
    <w:rsid w:val="787F7ABE"/>
    <w:rsid w:val="78EF290F"/>
    <w:rsid w:val="79F00F06"/>
    <w:rsid w:val="7AEF6BF7"/>
    <w:rsid w:val="7C4B60AF"/>
    <w:rsid w:val="7C817D22"/>
    <w:rsid w:val="7D812256"/>
    <w:rsid w:val="7E152E18"/>
    <w:rsid w:val="7E7E04D2"/>
    <w:rsid w:val="7EAD3051"/>
    <w:rsid w:val="7EFC0ED3"/>
    <w:rsid w:val="7FAB3E4E"/>
    <w:rsid w:val="7FBE8615"/>
    <w:rsid w:val="7FFFDF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3"/>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Normal Indent" w:qFormat="1"/>
    <w:lsdException w:name="header" w:qFormat="1"/>
    <w:lsdException w:name="footer" w:uiPriority="99" w:qFormat="1"/>
    <w:lsdException w:name="Default Paragraph Font" w:uiPriority="1" w:unhideWhenUsed="1" w:qFormat="1"/>
    <w:lsdException w:name="Body Text" w:uiPriority="1" w:qFormat="1"/>
    <w:lsdException w:name="Hyperlink" w:qFormat="1"/>
    <w:lsdException w:name="Strong"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30E7A"/>
    <w:pPr>
      <w:widowControl w:val="0"/>
      <w:autoSpaceDE w:val="0"/>
      <w:autoSpaceDN w:val="0"/>
      <w:snapToGrid w:val="0"/>
      <w:spacing w:line="590" w:lineRule="atLeast"/>
      <w:ind w:firstLine="624"/>
      <w:jc w:val="both"/>
    </w:pPr>
    <w:rPr>
      <w:rFonts w:eastAsia="方正仿宋_GBK"/>
      <w:snapToGrid w:val="0"/>
      <w:sz w:val="32"/>
    </w:rPr>
  </w:style>
  <w:style w:type="paragraph" w:styleId="1">
    <w:name w:val="heading 1"/>
    <w:basedOn w:val="a"/>
    <w:next w:val="a"/>
    <w:link w:val="1Char"/>
    <w:qFormat/>
    <w:rsid w:val="00730E7A"/>
    <w:pPr>
      <w:keepNext/>
      <w:keepLines/>
      <w:spacing w:before="340" w:after="330" w:line="578" w:lineRule="atLeast"/>
      <w:outlineLvl w:val="0"/>
    </w:pPr>
    <w:rPr>
      <w:b/>
      <w:kern w:val="44"/>
      <w:sz w:val="44"/>
    </w:rPr>
  </w:style>
  <w:style w:type="paragraph" w:styleId="2">
    <w:name w:val="heading 2"/>
    <w:basedOn w:val="a"/>
    <w:next w:val="a"/>
    <w:link w:val="2Char"/>
    <w:qFormat/>
    <w:rsid w:val="00730E7A"/>
    <w:pPr>
      <w:keepNext/>
      <w:keepLines/>
      <w:ind w:firstLine="0"/>
      <w:jc w:val="center"/>
      <w:outlineLvl w:val="1"/>
    </w:pPr>
    <w:rPr>
      <w:rFonts w:ascii="Arial" w:eastAsia="楷体" w:hAnsi="Arial"/>
    </w:rPr>
  </w:style>
  <w:style w:type="paragraph" w:styleId="3">
    <w:name w:val="heading 3"/>
    <w:basedOn w:val="a"/>
    <w:next w:val="a0"/>
    <w:link w:val="3Char"/>
    <w:qFormat/>
    <w:rsid w:val="00730E7A"/>
    <w:pPr>
      <w:keepNext/>
      <w:keepLines/>
      <w:spacing w:before="260" w:after="260" w:line="240"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rsid w:val="00730E7A"/>
    <w:pPr>
      <w:adjustRightInd w:val="0"/>
      <w:snapToGrid/>
      <w:ind w:firstLine="0"/>
      <w:jc w:val="left"/>
    </w:pPr>
    <w:rPr>
      <w:spacing w:val="-25"/>
    </w:rPr>
  </w:style>
  <w:style w:type="paragraph" w:styleId="a4">
    <w:name w:val="Body Text"/>
    <w:basedOn w:val="a"/>
    <w:uiPriority w:val="1"/>
    <w:qFormat/>
    <w:rsid w:val="00730E7A"/>
    <w:pPr>
      <w:spacing w:before="183"/>
      <w:ind w:left="774"/>
    </w:pPr>
    <w:rPr>
      <w:rFonts w:ascii="宋体" w:eastAsia="宋体" w:hAnsi="宋体"/>
      <w:szCs w:val="32"/>
    </w:rPr>
  </w:style>
  <w:style w:type="paragraph" w:styleId="a5">
    <w:name w:val="Balloon Text"/>
    <w:basedOn w:val="a"/>
    <w:link w:val="Char"/>
    <w:qFormat/>
    <w:rsid w:val="00730E7A"/>
    <w:pPr>
      <w:spacing w:line="240" w:lineRule="auto"/>
    </w:pPr>
    <w:rPr>
      <w:sz w:val="18"/>
      <w:szCs w:val="18"/>
    </w:rPr>
  </w:style>
  <w:style w:type="paragraph" w:styleId="a6">
    <w:name w:val="footer"/>
    <w:basedOn w:val="a"/>
    <w:link w:val="Char0"/>
    <w:uiPriority w:val="99"/>
    <w:qFormat/>
    <w:rsid w:val="00730E7A"/>
    <w:pPr>
      <w:tabs>
        <w:tab w:val="center" w:pos="4153"/>
        <w:tab w:val="right" w:pos="8306"/>
      </w:tabs>
      <w:spacing w:line="400" w:lineRule="atLeast"/>
      <w:ind w:firstLine="0"/>
      <w:jc w:val="center"/>
    </w:pPr>
    <w:rPr>
      <w:sz w:val="28"/>
    </w:rPr>
  </w:style>
  <w:style w:type="paragraph" w:styleId="a7">
    <w:name w:val="header"/>
    <w:basedOn w:val="a"/>
    <w:qFormat/>
    <w:rsid w:val="00730E7A"/>
    <w:pPr>
      <w:pBdr>
        <w:bottom w:val="single" w:sz="6" w:space="1" w:color="auto"/>
      </w:pBdr>
      <w:tabs>
        <w:tab w:val="center" w:pos="4153"/>
        <w:tab w:val="right" w:pos="8306"/>
      </w:tabs>
      <w:spacing w:line="240" w:lineRule="atLeast"/>
      <w:jc w:val="center"/>
    </w:pPr>
    <w:rPr>
      <w:sz w:val="18"/>
    </w:rPr>
  </w:style>
  <w:style w:type="paragraph" w:styleId="a8">
    <w:name w:val="Normal (Web)"/>
    <w:basedOn w:val="a"/>
    <w:qFormat/>
    <w:rsid w:val="00730E7A"/>
    <w:rPr>
      <w:snapToGrid/>
      <w:sz w:val="24"/>
      <w:szCs w:val="24"/>
    </w:rPr>
  </w:style>
  <w:style w:type="character" w:styleId="a9">
    <w:name w:val="Strong"/>
    <w:qFormat/>
    <w:rsid w:val="00730E7A"/>
    <w:rPr>
      <w:b/>
    </w:rPr>
  </w:style>
  <w:style w:type="character" w:styleId="aa">
    <w:name w:val="Hyperlink"/>
    <w:basedOn w:val="a1"/>
    <w:qFormat/>
    <w:rsid w:val="00730E7A"/>
    <w:rPr>
      <w:color w:val="0000FF"/>
      <w:u w:val="single"/>
    </w:rPr>
  </w:style>
  <w:style w:type="character" w:customStyle="1" w:styleId="1Char">
    <w:name w:val="标题 1 Char"/>
    <w:link w:val="1"/>
    <w:qFormat/>
    <w:rsid w:val="00730E7A"/>
    <w:rPr>
      <w:b/>
      <w:kern w:val="44"/>
      <w:sz w:val="44"/>
    </w:rPr>
  </w:style>
  <w:style w:type="character" w:customStyle="1" w:styleId="2Char">
    <w:name w:val="标题 2 Char"/>
    <w:link w:val="2"/>
    <w:qFormat/>
    <w:rsid w:val="00730E7A"/>
    <w:rPr>
      <w:rFonts w:ascii="Arial" w:eastAsia="楷体" w:hAnsi="Arial"/>
    </w:rPr>
  </w:style>
  <w:style w:type="character" w:customStyle="1" w:styleId="3Char">
    <w:name w:val="标题 3 Char"/>
    <w:link w:val="3"/>
    <w:qFormat/>
    <w:rsid w:val="00730E7A"/>
    <w:rPr>
      <w:b/>
    </w:rPr>
  </w:style>
  <w:style w:type="character" w:customStyle="1" w:styleId="Char">
    <w:name w:val="批注框文本 Char"/>
    <w:basedOn w:val="a1"/>
    <w:link w:val="a5"/>
    <w:qFormat/>
    <w:rsid w:val="00730E7A"/>
    <w:rPr>
      <w:rFonts w:eastAsia="方正仿宋_GBK"/>
      <w:snapToGrid w:val="0"/>
      <w:sz w:val="18"/>
      <w:szCs w:val="18"/>
    </w:rPr>
  </w:style>
  <w:style w:type="character" w:customStyle="1" w:styleId="Char0">
    <w:name w:val="页脚 Char"/>
    <w:basedOn w:val="a1"/>
    <w:link w:val="a6"/>
    <w:uiPriority w:val="99"/>
    <w:qFormat/>
    <w:rsid w:val="00730E7A"/>
    <w:rPr>
      <w:rFonts w:eastAsia="方正仿宋_GBK"/>
      <w:snapToGrid w:val="0"/>
      <w:sz w:val="28"/>
    </w:rPr>
  </w:style>
  <w:style w:type="paragraph" w:customStyle="1" w:styleId="10">
    <w:name w:val="标题1"/>
    <w:basedOn w:val="a"/>
    <w:next w:val="a"/>
    <w:qFormat/>
    <w:rsid w:val="00730E7A"/>
    <w:pPr>
      <w:tabs>
        <w:tab w:val="left" w:pos="9193"/>
        <w:tab w:val="left" w:pos="9827"/>
      </w:tabs>
      <w:spacing w:beforeLines="50" w:afterLines="50" w:line="640" w:lineRule="exact"/>
      <w:ind w:firstLine="0"/>
      <w:jc w:val="center"/>
    </w:pPr>
    <w:rPr>
      <w:rFonts w:eastAsia="方正小标宋_GBK"/>
      <w:sz w:val="44"/>
    </w:rPr>
  </w:style>
  <w:style w:type="paragraph" w:customStyle="1" w:styleId="10505">
    <w:name w:val="样式 标题1 + 段前: 0.5 行 段后: 0.5 行"/>
    <w:basedOn w:val="10"/>
    <w:qFormat/>
    <w:rsid w:val="00730E7A"/>
    <w:pPr>
      <w:spacing w:beforeLines="0" w:afterLines="0"/>
    </w:pPr>
    <w:rPr>
      <w:rFonts w:cs="宋体"/>
    </w:rPr>
  </w:style>
  <w:style w:type="paragraph" w:customStyle="1" w:styleId="ab">
    <w:name w:val="红线"/>
    <w:basedOn w:val="a"/>
    <w:qFormat/>
    <w:rsid w:val="00730E7A"/>
    <w:pPr>
      <w:adjustRightInd w:val="0"/>
      <w:snapToGrid/>
      <w:spacing w:after="170" w:line="227" w:lineRule="atLeast"/>
      <w:ind w:firstLine="0"/>
      <w:jc w:val="center"/>
    </w:pPr>
    <w:rPr>
      <w:sz w:val="10"/>
    </w:rPr>
  </w:style>
  <w:style w:type="paragraph" w:customStyle="1" w:styleId="20">
    <w:name w:val="标题2"/>
    <w:basedOn w:val="a"/>
    <w:next w:val="a"/>
    <w:qFormat/>
    <w:rsid w:val="00730E7A"/>
    <w:pPr>
      <w:ind w:firstLine="0"/>
      <w:jc w:val="center"/>
    </w:pPr>
    <w:rPr>
      <w:rFonts w:eastAsia="方正楷体_GBK"/>
    </w:rPr>
  </w:style>
  <w:style w:type="paragraph" w:customStyle="1" w:styleId="30">
    <w:name w:val="标题3"/>
    <w:basedOn w:val="a"/>
    <w:next w:val="a"/>
    <w:qFormat/>
    <w:rsid w:val="00730E7A"/>
    <w:rPr>
      <w:rFonts w:eastAsia="方正黑体_GBK"/>
    </w:rPr>
  </w:style>
  <w:style w:type="paragraph" w:customStyle="1" w:styleId="ac">
    <w:name w:val="密级急件"/>
    <w:basedOn w:val="a"/>
    <w:qFormat/>
    <w:rsid w:val="00730E7A"/>
    <w:pPr>
      <w:adjustRightInd w:val="0"/>
      <w:spacing w:line="560" w:lineRule="atLeast"/>
      <w:ind w:firstLine="0"/>
      <w:jc w:val="left"/>
    </w:pPr>
    <w:rPr>
      <w:rFonts w:eastAsia="方正黑体_GBK"/>
    </w:rPr>
  </w:style>
  <w:style w:type="paragraph" w:customStyle="1" w:styleId="ad">
    <w:name w:val="抄送栏"/>
    <w:basedOn w:val="a"/>
    <w:qFormat/>
    <w:rsid w:val="00730E7A"/>
    <w:pPr>
      <w:adjustRightInd w:val="0"/>
      <w:snapToGrid/>
      <w:ind w:left="953" w:hanging="953"/>
    </w:pPr>
  </w:style>
  <w:style w:type="paragraph" w:customStyle="1" w:styleId="ae">
    <w:name w:val="文头"/>
    <w:basedOn w:val="ab"/>
    <w:qFormat/>
    <w:rsid w:val="00730E7A"/>
    <w:pPr>
      <w:spacing w:before="320" w:after="0"/>
      <w:ind w:left="227" w:right="227"/>
      <w:jc w:val="distribute"/>
    </w:pPr>
    <w:rPr>
      <w:rFonts w:ascii="汉鼎简大宋" w:eastAsia="汉鼎简大宋" w:hAnsi="汉鼎简大宋"/>
      <w:color w:val="FF0000"/>
      <w:spacing w:val="36"/>
      <w:w w:val="82"/>
      <w:sz w:val="90"/>
    </w:rPr>
  </w:style>
  <w:style w:type="character" w:customStyle="1" w:styleId="11">
    <w:name w:val="未处理的提及1"/>
    <w:basedOn w:val="a1"/>
    <w:uiPriority w:val="99"/>
    <w:unhideWhenUsed/>
    <w:qFormat/>
    <w:rsid w:val="00730E7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464</Words>
  <Characters>2645</Characters>
  <Application>Microsoft Office Word</Application>
  <DocSecurity>0</DocSecurity>
  <Lines>22</Lines>
  <Paragraphs>6</Paragraphs>
  <ScaleCrop>false</ScaleCrop>
  <Company/>
  <LinksUpToDate>false</LinksUpToDate>
  <CharactersWithSpaces>3103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省厅2（函）</dc:title>
  <dc:creator>zjt</dc:creator>
  <cp:lastModifiedBy>LENOVO</cp:lastModifiedBy>
  <cp:revision>11</cp:revision>
  <cp:lastPrinted>2024-08-14T01:54:00Z</cp:lastPrinted>
  <dcterms:created xsi:type="dcterms:W3CDTF">2025-05-09T01:04:00Z</dcterms:created>
  <dcterms:modified xsi:type="dcterms:W3CDTF">2025-08-06T02:22:00Z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718BF2327E5F4C86B2BF09363551BC1D_13</vt:lpwstr>
  </property>
  <property fmtid="{D5CDD505-2E9C-101B-9397-08002B2CF9AE}" pid="4" name="KSOTemplateDocerSaveRecord">
    <vt:lpwstr>eyJoZGlkIjoiMDVkZWMxYzg1YzBkNzcyZDFiYmJiOGJhMmNiZTE5MjkifQ==</vt:lpwstr>
  </property>
</Properties>
</file>