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B5911">
      <w:pPr>
        <w:pStyle w:val="2"/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r>
        <w:rPr>
          <w:rStyle w:val="6"/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2025年11月工作小结</w:t>
      </w:r>
    </w:p>
    <w:bookmarkEnd w:id="0"/>
    <w:p w14:paraId="312E27C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Style w:val="6"/>
          <w:rFonts w:hint="eastAsia" w:ascii="方正仿宋_GBK" w:hAnsi="方正仿宋_GBK" w:eastAsia="方正仿宋_GBK" w:cs="方正仿宋_GBK"/>
          <w:sz w:val="32"/>
          <w:szCs w:val="32"/>
        </w:rPr>
        <w:t>消费</w:t>
      </w:r>
      <w:r>
        <w:rPr>
          <w:rStyle w:val="6"/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促进</w:t>
      </w:r>
      <w:r>
        <w:rPr>
          <w:rStyle w:val="6"/>
          <w:rFonts w:hint="eastAsia" w:ascii="方正仿宋_GBK" w:hAnsi="方正仿宋_GBK" w:eastAsia="方正仿宋_GBK" w:cs="方正仿宋_GBK"/>
          <w:sz w:val="32"/>
          <w:szCs w:val="32"/>
        </w:rPr>
        <w:t>方面。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成功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入选消费新业态新模式新场景试点城市。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积极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做好太湖购物节冬季活动、进博会、太湖论坛等各项重大活动的宣传推广与市场拓展工作。持续运营新媒体平台，讲好无锡商务故事。</w:t>
      </w:r>
    </w:p>
    <w:p w14:paraId="3DFCD89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Style w:val="6"/>
          <w:rFonts w:hint="eastAsia" w:ascii="方正仿宋_GBK" w:hAnsi="方正仿宋_GBK" w:eastAsia="方正仿宋_GBK" w:cs="方正仿宋_GBK"/>
          <w:sz w:val="32"/>
          <w:szCs w:val="32"/>
        </w:rPr>
        <w:t>利用外资方面。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深化利用外资“三个敲门行动”，引导更多龙头企业及创新性项目落地。落实支持外资企业境内再投资“十项措施”，引导存量外资加大投资规模，确保利润再投资占比达标。持续放大QFLP试点成效，推动已备案项目加快投资。支持外资企业升级布局区域性总部及研发中心，积极争取相关资质荣誉。</w:t>
      </w:r>
    </w:p>
    <w:p w14:paraId="1B5D4F3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Style w:val="6"/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推动合作</w:t>
      </w:r>
      <w:r>
        <w:rPr>
          <w:rStyle w:val="6"/>
          <w:rFonts w:hint="eastAsia" w:ascii="方正仿宋_GBK" w:hAnsi="方正仿宋_GBK" w:eastAsia="方正仿宋_GBK" w:cs="方正仿宋_GBK"/>
          <w:sz w:val="32"/>
          <w:szCs w:val="32"/>
        </w:rPr>
        <w:t>方面。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高质量承办2025企业家太湖论坛，成功邀请众多跨国公司高管参会，有效展示无锡营商环境。协同各板块，赴上海、西安、杭州等地开展系列招商推介活动。全力筹备2025无锡（大湾区）具身智能产业合作对接会，深化与粤港澳大湾区的产业合作。</w:t>
      </w:r>
    </w:p>
    <w:p w14:paraId="419F29C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6"/>
          <w:rFonts w:hint="eastAsia" w:ascii="方正仿宋_GBK" w:hAnsi="方正仿宋_GBK" w:eastAsia="方正仿宋_GBK" w:cs="方正仿宋_GBK"/>
          <w:sz w:val="32"/>
          <w:szCs w:val="32"/>
        </w:rPr>
        <w:t>口岸功能方面。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推动研发用物品进口“白名单”制度扩围，争取生物医药特殊物品入境检疫改革试点落地。支持无锡（江阴）港、中欧接续班列、新安二类口岸、铁路西站扩容升级。推动无锡国际邮件互换局正式运营，不断增强接轨国际的枢纽服务能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2398B4CB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420" w:firstLineChars="200"/>
        <w:textAlignment w:val="auto"/>
        <w:rPr>
          <w:rFonts w:hint="eastAsia" w:ascii="方正仿宋_GBK" w:hAnsi="方正仿宋_GBK" w:eastAsia="方正仿宋_GBK" w:cs="方正仿宋_GBK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876269"/>
    <w:rsid w:val="21E8702E"/>
    <w:rsid w:val="2EDA313F"/>
    <w:rsid w:val="31B1462B"/>
    <w:rsid w:val="53071EA5"/>
    <w:rsid w:val="7724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2025-12-25T08:32:08Z</dcterms:created>
  <dc:creator>User</dc:creator>
  <cp:lastModifiedBy>悠悠我心</cp:lastModifiedBy>
  <dcterms:modified xsi:type="dcterms:W3CDTF">2025-12-25T08:36:17Z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eyJoZGlkIjoiYTUxYTdiOTQ5ZGNiYmJhNjg4ZDUzNDIxYTQxZWM2NzciLCJ1c2VySWQiOiIxMDUzMjA4MTcxIn0=</vt:lpwstr>
  </property>
  <property fmtid="{D5CDD505-2E9C-101B-9397-08002B2CF9AE}" pid="4" name="ICV">
    <vt:lpwstr>96FAAFE4EA004CF480D2C8C958496A08_12</vt:lpwstr>
  </property>
</Properties>
</file>